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754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3"/>
          <w:sz w:val="22"/>
        </w:rPr>
        <w:t> </w:t>
      </w:r>
      <w:r>
        <w:rPr>
          <w:sz w:val="22"/>
        </w:rPr>
        <w:t>№</w:t>
      </w:r>
      <w:r>
        <w:rPr>
          <w:spacing w:val="-11"/>
          <w:sz w:val="22"/>
        </w:rPr>
        <w:t> </w:t>
      </w:r>
      <w:r>
        <w:rPr>
          <w:sz w:val="22"/>
        </w:rPr>
        <w:t>3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2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9" w:after="1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1948"/>
      </w:tblGrid>
      <w:tr>
        <w:trPr>
          <w:trHeight w:val="798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Наставники:</w:t>
            </w:r>
          </w:p>
        </w:tc>
        <w:tc>
          <w:tcPr>
            <w:tcW w:w="1948" w:type="dxa"/>
          </w:tcPr>
          <w:p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Баранова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Я.Н., Ульянов М.В.</w:t>
            </w:r>
          </w:p>
        </w:tc>
      </w:tr>
      <w:tr>
        <w:trPr>
          <w:trHeight w:val="481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59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1948" w:type="dxa"/>
          </w:tcPr>
          <w:p>
            <w:pPr>
              <w:pStyle w:val="TableParagraph"/>
              <w:spacing w:line="307" w:lineRule="exact" w:before="155"/>
              <w:ind w:left="130"/>
              <w:rPr>
                <w:sz w:val="28"/>
              </w:rPr>
            </w:pPr>
            <w:r>
              <w:rPr>
                <w:sz w:val="28"/>
              </w:rPr>
              <w:t>Бутерус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М.А.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pStyle w:val="BodyText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left="0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17"/>
        <w:ind w:left="213" w:right="231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6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2"/>
        </w:rPr>
        <w:t> </w:t>
      </w:r>
      <w:r>
        <w:rPr/>
        <w:t>в новой</w:t>
      </w:r>
      <w:r>
        <w:rPr>
          <w:spacing w:val="-1"/>
        </w:rPr>
        <w:t> </w:t>
      </w:r>
      <w:r>
        <w:rPr/>
        <w:t>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9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237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2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2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Бутерус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Маргарита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Александровна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Яна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Николаевна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Ульянов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Михаил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Владимирович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20" w:h="16850"/>
          <w:pgMar w:top="780" w:bottom="1119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4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0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0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6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1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29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0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3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4222"/>
        <w:gridCol w:w="2021"/>
        <w:gridCol w:w="1574"/>
        <w:gridCol w:w="1939"/>
      </w:tblGrid>
      <w:tr>
        <w:trPr>
          <w:trHeight w:val="554" w:hRule="atLeast"/>
        </w:trPr>
        <w:tc>
          <w:tcPr>
            <w:tcW w:w="670" w:type="dxa"/>
          </w:tcPr>
          <w:p>
            <w:pPr>
              <w:pStyle w:val="TableParagraph"/>
              <w:spacing w:line="276" w:lineRule="exact"/>
              <w:ind w:left="137" w:right="122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4222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  <w:p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021" w:type="dxa"/>
          </w:tcPr>
          <w:p>
            <w:pPr>
              <w:pStyle w:val="TableParagraph"/>
              <w:spacing w:line="275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574" w:type="dxa"/>
          </w:tcPr>
          <w:p>
            <w:pPr>
              <w:pStyle w:val="TableParagraph"/>
              <w:spacing w:line="276" w:lineRule="exact"/>
              <w:ind w:left="142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1939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1931" w:hRule="atLeast"/>
        </w:trPr>
        <w:tc>
          <w:tcPr>
            <w:tcW w:w="6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22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</w:t>
            </w:r>
            <w:r>
              <w:rPr>
                <w:spacing w:val="72"/>
                <w:sz w:val="24"/>
              </w:rPr>
              <w:t>  </w:t>
            </w:r>
            <w:r>
              <w:rPr>
                <w:sz w:val="24"/>
              </w:rPr>
              <w:t>показателями</w:t>
            </w:r>
            <w:r>
              <w:rPr>
                <w:spacing w:val="72"/>
                <w:sz w:val="24"/>
              </w:rPr>
              <w:t>  </w:t>
            </w:r>
            <w:r>
              <w:rPr>
                <w:spacing w:val="-2"/>
                <w:sz w:val="24"/>
              </w:rPr>
              <w:t>кадрового</w:t>
            </w:r>
          </w:p>
          <w:p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аудита, показателями деятельности преподавателя, участие в их решении)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индивидуальные беседы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3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Ульянов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М.В.</w:t>
            </w:r>
          </w:p>
        </w:tc>
      </w:tr>
      <w:tr>
        <w:trPr>
          <w:trHeight w:val="551" w:hRule="atLeast"/>
        </w:trPr>
        <w:tc>
          <w:tcPr>
            <w:tcW w:w="67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22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202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1349" w:val="left" w:leader="none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> 2022</w:t>
            </w:r>
          </w:p>
        </w:tc>
        <w:tc>
          <w:tcPr>
            <w:tcW w:w="1939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Я.Н.</w:t>
            </w:r>
          </w:p>
        </w:tc>
      </w:tr>
      <w:tr>
        <w:trPr>
          <w:trHeight w:val="1103" w:hRule="atLeast"/>
        </w:trPr>
        <w:tc>
          <w:tcPr>
            <w:tcW w:w="6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22" w:type="dxa"/>
          </w:tcPr>
          <w:p>
            <w:pPr>
              <w:pStyle w:val="TableParagraph"/>
              <w:tabs>
                <w:tab w:pos="1323" w:val="left" w:leader="none"/>
                <w:tab w:pos="1952" w:val="left" w:leader="none"/>
                <w:tab w:pos="3074" w:val="left" w:leader="none"/>
                <w:tab w:pos="3487" w:val="left" w:leader="none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(цели, задачи,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методики,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технологии и результаты обучения по учебным дисциплинам и модулям)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> 2022</w:t>
            </w:r>
          </w:p>
        </w:tc>
        <w:tc>
          <w:tcPr>
            <w:tcW w:w="193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Я.Н.</w:t>
            </w:r>
          </w:p>
        </w:tc>
      </w:tr>
      <w:tr>
        <w:trPr>
          <w:trHeight w:val="551" w:hRule="atLeast"/>
        </w:trPr>
        <w:tc>
          <w:tcPr>
            <w:tcW w:w="6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дипломными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проектами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(работами)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2022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3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Я.Н.</w:t>
            </w:r>
          </w:p>
        </w:tc>
      </w:tr>
    </w:tbl>
    <w:sectPr>
      <w:type w:val="continuous"/>
      <w:pgSz w:w="11920" w:h="16850"/>
      <w:pgMar w:top="84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2023-11-27T04:30:41Z</dcterms:created>
  <dcterms:modified xsi:type="dcterms:W3CDTF">2023-11-27T04:30:41Z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