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17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640" w:right="485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895" w:right="5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053" w:right="120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730"/>
      </w:tblGrid>
      <w:tr>
        <w:trPr>
          <w:trHeight w:val="377" w:hRule="atLeast"/>
        </w:trPr>
        <w:tc>
          <w:tcPr>
            <w:tcW w:w="2621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730" w:type="dxa"/>
          </w:tcPr>
          <w:p>
            <w:pPr>
              <w:pStyle w:val="TableParagraph"/>
              <w:spacing w:line="311" w:lineRule="exact"/>
              <w:ind w:left="413"/>
              <w:rPr>
                <w:sz w:val="28"/>
              </w:rPr>
            </w:pPr>
            <w:r>
              <w:rPr>
                <w:sz w:val="28"/>
              </w:rPr>
              <w:t>Баранова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Я.Н.</w:t>
            </w:r>
          </w:p>
        </w:tc>
      </w:tr>
      <w:tr>
        <w:trPr>
          <w:trHeight w:val="377" w:hRule="atLeast"/>
        </w:trPr>
        <w:tc>
          <w:tcPr>
            <w:tcW w:w="2621" w:type="dxa"/>
          </w:tcPr>
          <w:p>
            <w:pPr>
              <w:pStyle w:val="TableParagraph"/>
              <w:spacing w:line="302" w:lineRule="exact" w:before="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730" w:type="dxa"/>
          </w:tcPr>
          <w:p>
            <w:pPr>
              <w:pStyle w:val="TableParagraph"/>
              <w:spacing w:line="302" w:lineRule="exact" w:before="55"/>
              <w:ind w:left="413"/>
              <w:rPr>
                <w:sz w:val="28"/>
              </w:rPr>
            </w:pPr>
            <w:r>
              <w:rPr>
                <w:sz w:val="28"/>
              </w:rPr>
              <w:t>Хасбулатова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5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2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before="120"/>
        <w:ind w:left="242" w:right="107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42" w:right="108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07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-57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 колледжа</w:t>
      </w:r>
      <w:r>
        <w:rPr>
          <w:spacing w:val="-3"/>
          <w:sz w:val="24"/>
        </w:rPr>
        <w:t> </w:t>
      </w:r>
      <w:r>
        <w:rPr>
          <w:sz w:val="24"/>
        </w:rPr>
        <w:t>и 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 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0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2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1"/>
          <w:sz w:val="24"/>
        </w:rPr>
        <w:t> </w:t>
      </w:r>
      <w:r>
        <w:rPr>
          <w:sz w:val="24"/>
        </w:rPr>
        <w:t>педагогической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2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39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Хасбулатова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Анжелика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Валерьевна</w:t>
            </w:r>
          </w:p>
        </w:tc>
      </w:tr>
      <w:tr>
        <w:trPr>
          <w:trHeight w:val="398" w:hRule="atLeast"/>
        </w:trPr>
        <w:tc>
          <w:tcPr>
            <w:tcW w:w="383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6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Баранова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Яна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Николаевна</w:t>
            </w:r>
          </w:p>
        </w:tc>
      </w:tr>
      <w:tr>
        <w:trPr>
          <w:trHeight w:val="395" w:hRule="atLeast"/>
        </w:trPr>
        <w:tc>
          <w:tcPr>
            <w:tcW w:w="383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73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0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2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 развития</w:t>
      </w:r>
      <w:r>
        <w:rPr>
          <w:spacing w:val="-1"/>
          <w:sz w:val="24"/>
        </w:rPr>
        <w:t> </w:t>
      </w:r>
      <w:r>
        <w:rPr>
          <w:sz w:val="24"/>
        </w:rPr>
        <w:t>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1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0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708"/>
        <w:gridCol w:w="2230"/>
        <w:gridCol w:w="1640"/>
        <w:gridCol w:w="2115"/>
      </w:tblGrid>
      <w:tr>
        <w:trPr>
          <w:trHeight w:val="1223" w:hRule="atLeast"/>
        </w:trPr>
        <w:tc>
          <w:tcPr>
            <w:tcW w:w="655" w:type="dxa"/>
          </w:tcPr>
          <w:p>
            <w:pPr>
              <w:pStyle w:val="TableParagraph"/>
              <w:ind w:left="129" w:right="9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708" w:type="dxa"/>
          </w:tcPr>
          <w:p>
            <w:pPr>
              <w:pStyle w:val="TableParagraph"/>
              <w:ind w:left="475" w:right="46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0" w:type="dxa"/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0" w:type="dxa"/>
          </w:tcPr>
          <w:p>
            <w:pPr>
              <w:pStyle w:val="TableParagraph"/>
              <w:ind w:left="174" w:right="14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671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Я.Н.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5" w:right="5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7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2023-11-27T05:15:20Z</dcterms:created>
  <dcterms:modified xsi:type="dcterms:W3CDTF">2023-11-27T05:15:20Z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