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389"/>
        <w:jc w:val="right"/>
        <w:rPr>
          <w:sz w:val="22"/>
        </w:rPr>
      </w:pPr>
      <w:r>
        <w:rPr>
          <w:sz w:val="22"/>
        </w:rPr>
        <w:t>Приложение № 21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421"/>
      </w:tblGrid>
      <w:tr>
        <w:trPr>
          <w:trHeight w:val="79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Наставники:</w:t>
            </w:r>
          </w:p>
        </w:tc>
        <w:tc>
          <w:tcPr>
            <w:tcW w:w="2421" w:type="dxa"/>
          </w:tcPr>
          <w:p>
            <w:pPr>
              <w:pStyle w:val="TableParagraph"/>
              <w:ind w:left="130" w:right="180"/>
              <w:rPr>
                <w:sz w:val="28"/>
              </w:rPr>
            </w:pPr>
            <w:r>
              <w:rPr>
                <w:sz w:val="28"/>
              </w:rPr>
              <w:t>Вершинина Е.М.,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Шакурова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И.А.</w:t>
            </w:r>
          </w:p>
        </w:tc>
      </w:tr>
      <w:tr>
        <w:trPr>
          <w:trHeight w:val="483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6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421" w:type="dxa"/>
          </w:tcPr>
          <w:p>
            <w:pPr>
              <w:pStyle w:val="TableParagraph"/>
              <w:spacing w:line="307" w:lineRule="exact" w:before="156"/>
              <w:ind w:left="130"/>
              <w:rPr>
                <w:sz w:val="28"/>
              </w:rPr>
            </w:pPr>
            <w:r>
              <w:rPr>
                <w:sz w:val="28"/>
              </w:rPr>
              <w:t>Петренко Н.В.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spacing w:before="69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13" w:right="23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3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7"/>
        <w:ind w:left="213" w:right="223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238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4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 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2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Петренко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Николай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Владимирович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Вершинина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Елизавета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Михайловна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Шакурова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Александровна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месяцев.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780" w:bottom="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4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31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1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9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39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7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502"/>
        <w:gridCol w:w="2446"/>
        <w:gridCol w:w="1573"/>
        <w:gridCol w:w="2226"/>
      </w:tblGrid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line="276" w:lineRule="exact"/>
              <w:ind w:left="141" w:right="11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502" w:type="dxa"/>
          </w:tcPr>
          <w:p>
            <w:pPr>
              <w:pStyle w:val="TableParagraph"/>
              <w:spacing w:line="276" w:lineRule="exact"/>
              <w:ind w:left="112" w:right="87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6" w:type="dxa"/>
          </w:tcPr>
          <w:p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3" w:type="dxa"/>
          </w:tcPr>
          <w:p>
            <w:pPr>
              <w:pStyle w:val="TableParagraph"/>
              <w:spacing w:line="276" w:lineRule="exact"/>
              <w:ind w:left="143" w:right="111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26" w:type="dxa"/>
          </w:tcPr>
          <w:p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2484" w:hRule="atLeast"/>
        </w:trPr>
        <w:tc>
          <w:tcPr>
            <w:tcW w:w="682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2" w:type="dxa"/>
          </w:tcPr>
          <w:p>
            <w:pPr>
              <w:pStyle w:val="TableParagraph"/>
              <w:tabs>
                <w:tab w:pos="1998" w:val="left" w:leader="none"/>
                <w:tab w:pos="2357" w:val="left" w:leader="none"/>
                <w:tab w:pos="2548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колледже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(ведение</w:t>
              <w:tab/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  <w:tab/>
              <w:tab/>
            </w:r>
            <w:r>
              <w:rPr>
                <w:spacing w:val="-1"/>
                <w:sz w:val="24"/>
              </w:rPr>
              <w:t>кадрового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аудита,</w:t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2446" w:type="dxa"/>
          </w:tcPr>
          <w:p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7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2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Вершинина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Е.М.</w:t>
            </w:r>
          </w:p>
        </w:tc>
      </w:tr>
      <w:tr>
        <w:trPr>
          <w:trHeight w:val="1655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446" w:type="dxa"/>
          </w:tcPr>
          <w:p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73" w:type="dxa"/>
          </w:tcPr>
          <w:p>
            <w:pPr>
              <w:pStyle w:val="TableParagraph"/>
              <w:tabs>
                <w:tab w:pos="863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по</w:t>
              <w:tab/>
              <w:t>плану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колледжа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2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Шакурова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</w:tr>
      <w:tr>
        <w:trPr>
          <w:trHeight w:val="1655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02" w:type="dxa"/>
          </w:tcPr>
          <w:p>
            <w:pPr>
              <w:pStyle w:val="TableParagraph"/>
              <w:tabs>
                <w:tab w:pos="224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(цели,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дисциплинам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модулям)</w:t>
            </w:r>
          </w:p>
        </w:tc>
        <w:tc>
          <w:tcPr>
            <w:tcW w:w="2446" w:type="dxa"/>
          </w:tcPr>
          <w:p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22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Вершинина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Е.М.</w:t>
            </w:r>
          </w:p>
        </w:tc>
      </w:tr>
    </w:tbl>
    <w:sectPr>
      <w:pgSz w:w="11920" w:h="16850"/>
      <w:pgMar w:top="78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4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2023-11-27T04:34:31Z</dcterms:created>
  <dcterms:modified xsi:type="dcterms:W3CDTF">2023-11-27T04:34:31Z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