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02" w:rsidRDefault="005475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7502" w:rsidRDefault="00547502">
      <w:pPr>
        <w:pStyle w:val="ConsPlusNormal"/>
        <w:jc w:val="both"/>
        <w:outlineLvl w:val="0"/>
      </w:pPr>
    </w:p>
    <w:p w:rsidR="00547502" w:rsidRDefault="00547502">
      <w:pPr>
        <w:pStyle w:val="ConsPlusNormal"/>
        <w:outlineLvl w:val="0"/>
      </w:pPr>
      <w:r>
        <w:t>Зарегистрировано в Минюсте России 26 февраля 2018 г. N 50135</w:t>
      </w:r>
    </w:p>
    <w:p w:rsidR="00547502" w:rsidRDefault="005475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47502" w:rsidRDefault="00547502">
      <w:pPr>
        <w:pStyle w:val="ConsPlusTitle"/>
        <w:jc w:val="both"/>
      </w:pPr>
    </w:p>
    <w:p w:rsidR="00547502" w:rsidRDefault="00547502">
      <w:pPr>
        <w:pStyle w:val="ConsPlusTitle"/>
        <w:jc w:val="center"/>
      </w:pPr>
      <w:r>
        <w:t>ПРИКАЗ</w:t>
      </w:r>
    </w:p>
    <w:p w:rsidR="00547502" w:rsidRDefault="00547502">
      <w:pPr>
        <w:pStyle w:val="ConsPlusTitle"/>
        <w:jc w:val="center"/>
      </w:pPr>
      <w:r>
        <w:t>от 5 февраля 2018 г. N 67</w:t>
      </w:r>
    </w:p>
    <w:p w:rsidR="00547502" w:rsidRDefault="00547502">
      <w:pPr>
        <w:pStyle w:val="ConsPlusTitle"/>
        <w:jc w:val="both"/>
      </w:pPr>
    </w:p>
    <w:p w:rsidR="00547502" w:rsidRDefault="00547502">
      <w:pPr>
        <w:pStyle w:val="ConsPlusTitle"/>
        <w:jc w:val="center"/>
      </w:pPr>
      <w:r>
        <w:t>ОБ УТВЕРЖДЕНИИ</w:t>
      </w:r>
    </w:p>
    <w:p w:rsidR="00547502" w:rsidRDefault="0054750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47502" w:rsidRDefault="00547502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47502" w:rsidRDefault="00547502">
      <w:pPr>
        <w:pStyle w:val="ConsPlusTitle"/>
        <w:jc w:val="center"/>
      </w:pPr>
      <w:r>
        <w:t>38.02.07 БАНКОВСКОЕ ДЕЛО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</w:t>
      </w:r>
      <w:proofErr w:type="gramStart"/>
      <w:r>
        <w:t xml:space="preserve">N 25, ст. 3688), </w:t>
      </w:r>
      <w:hyperlink r:id="rId5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</w:t>
      </w:r>
      <w:proofErr w:type="gramEnd"/>
      <w:r>
        <w:t xml:space="preserve"> </w:t>
      </w:r>
      <w:proofErr w:type="gramStart"/>
      <w:r>
        <w:t>2018, N 3, ст. 562), приказываю:</w:t>
      </w:r>
      <w:proofErr w:type="gramEnd"/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38.02.07 Банковское дело (далее - стандарт).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38.02.07 Банковское дело, утвержденным приказом Министерства образования и науки Российской Федерации от 28 июля 2014 г. N 837 (зарегистрирован Министерством юстиции Российской Федерации 18 августа 2014 г., регистрационный N 33622), прекращается 1 сентября 2018 года.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right"/>
      </w:pPr>
      <w:r>
        <w:t>Министр</w:t>
      </w:r>
    </w:p>
    <w:p w:rsidR="00547502" w:rsidRDefault="00547502">
      <w:pPr>
        <w:pStyle w:val="ConsPlusNormal"/>
        <w:jc w:val="right"/>
      </w:pPr>
      <w:r>
        <w:t>О.Ю.ВАСИЛЬЕВА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right"/>
        <w:outlineLvl w:val="0"/>
      </w:pPr>
      <w:r>
        <w:t>Приложение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right"/>
      </w:pPr>
      <w:r>
        <w:t>Утвержден</w:t>
      </w:r>
    </w:p>
    <w:p w:rsidR="00547502" w:rsidRDefault="00547502">
      <w:pPr>
        <w:pStyle w:val="ConsPlusNormal"/>
        <w:jc w:val="right"/>
      </w:pPr>
      <w:r>
        <w:t>приказом Министерства образования</w:t>
      </w:r>
    </w:p>
    <w:p w:rsidR="00547502" w:rsidRDefault="00547502">
      <w:pPr>
        <w:pStyle w:val="ConsPlusNormal"/>
        <w:jc w:val="right"/>
      </w:pPr>
      <w:r>
        <w:t>и науки Российской Федерации</w:t>
      </w:r>
    </w:p>
    <w:p w:rsidR="00547502" w:rsidRDefault="00547502">
      <w:pPr>
        <w:pStyle w:val="ConsPlusNormal"/>
        <w:jc w:val="right"/>
      </w:pPr>
      <w:r>
        <w:t>от 5 февраля 2018 г. N 67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547502" w:rsidRDefault="00547502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47502" w:rsidRDefault="00547502">
      <w:pPr>
        <w:pStyle w:val="ConsPlusTitle"/>
        <w:jc w:val="center"/>
      </w:pPr>
      <w:r>
        <w:t>38.02.07 БАНКОВСКОЕ ДЕЛО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jc w:val="center"/>
        <w:outlineLvl w:val="1"/>
      </w:pPr>
      <w:r>
        <w:t>I. ОБЩИЕ ПОЛОЖЕНИЯ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38.02.07 Банковское дело (далее - специальность).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подготовки специалистов среднего звена (далее - образовательная программа) в образовательной организации осуществляется в очной, очно-заочной и заочной формах обучения.</w:t>
      </w:r>
      <w:proofErr w:type="gramEnd"/>
    </w:p>
    <w:p w:rsidR="00547502" w:rsidRDefault="00547502">
      <w:pPr>
        <w:pStyle w:val="ConsPlusNormal"/>
        <w:spacing w:before="220"/>
        <w:ind w:firstLine="540"/>
        <w:jc w:val="both"/>
      </w:pPr>
      <w:r>
        <w:t>1.4. Содержание СПО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(далее - ПООП).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1.5.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(</w:t>
      </w:r>
      <w:hyperlink w:anchor="P202" w:history="1">
        <w:r>
          <w:rPr>
            <w:color w:val="0000FF"/>
          </w:rPr>
          <w:t>приложение N 1</w:t>
        </w:r>
      </w:hyperlink>
      <w:r>
        <w:t xml:space="preserve"> к настоящему ФГОС СПО).</w:t>
      </w:r>
    </w:p>
    <w:p w:rsidR="00547502" w:rsidRDefault="00547502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1.6.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7" w:history="1">
        <w:r>
          <w:rPr>
            <w:color w:val="0000FF"/>
          </w:rPr>
          <w:t>08</w:t>
        </w:r>
      </w:hyperlink>
      <w:r>
        <w:t xml:space="preserve"> Финансы и экономика &lt;1&gt;.</w:t>
      </w:r>
    </w:p>
    <w:p w:rsidR="00547502" w:rsidRDefault="00547502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547502" w:rsidRDefault="00547502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8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"О внесении изменения</w:t>
      </w:r>
      <w:proofErr w:type="gramEnd"/>
      <w:r>
        <w:t xml:space="preserve"> в приложение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29 марта 2017 г., регистрационный N 46168).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ind w:firstLine="540"/>
        <w:jc w:val="both"/>
      </w:pPr>
      <w: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1.8.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1.9. Образовательная программа реализуется на государственном языке Российской </w:t>
      </w:r>
      <w:r>
        <w:lastRenderedPageBreak/>
        <w:t>Федерации, если иное не определено локальным нормативным актом образовательной организации &lt;2&gt;.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47502" w:rsidRDefault="00547502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4765; 2018, N 1, ст. 57.).</w:t>
      </w:r>
      <w:proofErr w:type="gramEnd"/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Конкретный срок получения образования и объем образовательной программы, реализуемый за один учебный год, в очно-заочной и заочной формах </w:t>
      </w:r>
      <w:proofErr w:type="gramStart"/>
      <w:r>
        <w:t>обучения</w:t>
      </w:r>
      <w:proofErr w:type="gramEnd"/>
      <w:r>
        <w:t>,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547502" w:rsidRDefault="00547502">
      <w:pPr>
        <w:pStyle w:val="ConsPlusNormal"/>
        <w:spacing w:before="220"/>
        <w:ind w:firstLine="540"/>
        <w:jc w:val="both"/>
      </w:pPr>
      <w:bookmarkStart w:id="2" w:name="P65"/>
      <w:bookmarkEnd w:id="2"/>
      <w:r>
        <w:t xml:space="preserve">1.12. </w:t>
      </w:r>
      <w:proofErr w:type="gramStart"/>
      <w:r>
        <w:t xml:space="preserve">Образовательная организация разрабатывает образовательную программу в соответствии с квалификацией специалиста среднего звена "специалист банковского дела", указанной в </w:t>
      </w:r>
      <w:hyperlink r:id="rId10" w:history="1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 и с изменениями, внесенными приказами Министерства образования и науки Российской Федерации</w:t>
      </w:r>
      <w:proofErr w:type="gramEnd"/>
      <w:r>
        <w:t xml:space="preserve"> </w:t>
      </w:r>
      <w:proofErr w:type="gramStart"/>
      <w:r>
        <w:t xml:space="preserve">от 14 мая 2014 г. N 518 (зарегистрирован Министерством юстиции Российской Федерации 28 мая 2014 г., регистрационный N 32461), от 18 ноября 2015 г. N 1350 </w:t>
      </w:r>
      <w:r>
        <w:lastRenderedPageBreak/>
        <w:t>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44662).</w:t>
      </w:r>
      <w:proofErr w:type="gramEnd"/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18" w:history="1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(не менее 30 процентов) дает возможность расширения основног</w:t>
      </w:r>
      <w:proofErr w:type="gramStart"/>
      <w:r>
        <w:t>о(</w:t>
      </w:r>
      <w:proofErr w:type="gramEnd"/>
      <w:r>
        <w:t xml:space="preserve">ых) вида(ов) деятельности, к которым должен быть готов выпускник, освоивший образовательную программу, согласно квалификации, указанной в </w:t>
      </w:r>
      <w:hyperlink w:anchor="P65" w:history="1">
        <w:r>
          <w:rPr>
            <w:color w:val="0000FF"/>
          </w:rPr>
          <w:t>пункте 1.12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2.2. Образовательная программа имеет следующую структуру: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 цикл;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математический и общий естественнонаучный цикл;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профессиональный цикл;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65" w:history="1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right"/>
        <w:outlineLvl w:val="2"/>
      </w:pPr>
      <w:r>
        <w:t>Таблица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jc w:val="center"/>
      </w:pPr>
      <w:bookmarkStart w:id="3" w:name="P82"/>
      <w:bookmarkEnd w:id="3"/>
      <w:r>
        <w:t>Структура и объем образовательной программы</w:t>
      </w:r>
    </w:p>
    <w:p w:rsidR="00547502" w:rsidRDefault="005475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19"/>
        <w:gridCol w:w="2551"/>
      </w:tblGrid>
      <w:tr w:rsidR="00547502">
        <w:tc>
          <w:tcPr>
            <w:tcW w:w="6519" w:type="dxa"/>
          </w:tcPr>
          <w:p w:rsidR="00547502" w:rsidRDefault="00547502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551" w:type="dxa"/>
          </w:tcPr>
          <w:p w:rsidR="00547502" w:rsidRDefault="00547502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547502">
        <w:tc>
          <w:tcPr>
            <w:tcW w:w="6519" w:type="dxa"/>
          </w:tcPr>
          <w:p w:rsidR="00547502" w:rsidRDefault="00547502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2551" w:type="dxa"/>
          </w:tcPr>
          <w:p w:rsidR="00547502" w:rsidRDefault="00547502">
            <w:pPr>
              <w:pStyle w:val="ConsPlusNormal"/>
              <w:jc w:val="center"/>
            </w:pPr>
            <w:r>
              <w:t>не менее 324</w:t>
            </w:r>
          </w:p>
        </w:tc>
      </w:tr>
      <w:tr w:rsidR="00547502">
        <w:tc>
          <w:tcPr>
            <w:tcW w:w="6519" w:type="dxa"/>
          </w:tcPr>
          <w:p w:rsidR="00547502" w:rsidRDefault="00547502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2551" w:type="dxa"/>
          </w:tcPr>
          <w:p w:rsidR="00547502" w:rsidRDefault="00547502">
            <w:pPr>
              <w:pStyle w:val="ConsPlusNormal"/>
              <w:jc w:val="center"/>
            </w:pPr>
            <w:r>
              <w:t>не менее 108</w:t>
            </w:r>
          </w:p>
        </w:tc>
      </w:tr>
      <w:tr w:rsidR="00547502">
        <w:tc>
          <w:tcPr>
            <w:tcW w:w="6519" w:type="dxa"/>
          </w:tcPr>
          <w:p w:rsidR="00547502" w:rsidRDefault="00547502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2551" w:type="dxa"/>
          </w:tcPr>
          <w:p w:rsidR="00547502" w:rsidRDefault="00547502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547502">
        <w:tc>
          <w:tcPr>
            <w:tcW w:w="6519" w:type="dxa"/>
          </w:tcPr>
          <w:p w:rsidR="00547502" w:rsidRDefault="00547502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2551" w:type="dxa"/>
          </w:tcPr>
          <w:p w:rsidR="00547502" w:rsidRDefault="00547502">
            <w:pPr>
              <w:pStyle w:val="ConsPlusNormal"/>
              <w:jc w:val="center"/>
            </w:pPr>
            <w:r>
              <w:t>не менее 1008</w:t>
            </w:r>
          </w:p>
        </w:tc>
      </w:tr>
      <w:tr w:rsidR="00547502">
        <w:tc>
          <w:tcPr>
            <w:tcW w:w="6519" w:type="dxa"/>
          </w:tcPr>
          <w:p w:rsidR="00547502" w:rsidRDefault="0054750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551" w:type="dxa"/>
          </w:tcPr>
          <w:p w:rsidR="00547502" w:rsidRDefault="00547502">
            <w:pPr>
              <w:pStyle w:val="ConsPlusNormal"/>
              <w:jc w:val="center"/>
            </w:pPr>
            <w:r>
              <w:t>216</w:t>
            </w:r>
          </w:p>
        </w:tc>
      </w:tr>
      <w:tr w:rsidR="00547502">
        <w:tc>
          <w:tcPr>
            <w:tcW w:w="9070" w:type="dxa"/>
            <w:gridSpan w:val="2"/>
          </w:tcPr>
          <w:p w:rsidR="00547502" w:rsidRDefault="00547502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547502">
        <w:tc>
          <w:tcPr>
            <w:tcW w:w="6519" w:type="dxa"/>
          </w:tcPr>
          <w:p w:rsidR="00547502" w:rsidRDefault="00547502">
            <w:pPr>
              <w:pStyle w:val="ConsPlusNormal"/>
            </w:pPr>
            <w:r>
              <w:lastRenderedPageBreak/>
              <w:t>на базе среднего общего образования</w:t>
            </w:r>
          </w:p>
        </w:tc>
        <w:tc>
          <w:tcPr>
            <w:tcW w:w="2551" w:type="dxa"/>
          </w:tcPr>
          <w:p w:rsidR="00547502" w:rsidRDefault="00547502">
            <w:pPr>
              <w:pStyle w:val="ConsPlusNormal"/>
              <w:jc w:val="center"/>
            </w:pPr>
            <w:r>
              <w:t>2952</w:t>
            </w:r>
          </w:p>
        </w:tc>
      </w:tr>
      <w:tr w:rsidR="00547502">
        <w:tc>
          <w:tcPr>
            <w:tcW w:w="6519" w:type="dxa"/>
          </w:tcPr>
          <w:p w:rsidR="00547502" w:rsidRDefault="00547502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551" w:type="dxa"/>
          </w:tcPr>
          <w:p w:rsidR="00547502" w:rsidRDefault="00547502">
            <w:pPr>
              <w:pStyle w:val="ConsPlusNormal"/>
              <w:jc w:val="center"/>
            </w:pPr>
            <w:r>
              <w:t>4464</w:t>
            </w:r>
          </w:p>
        </w:tc>
      </w:tr>
    </w:tbl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ind w:firstLine="540"/>
        <w:jc w:val="both"/>
      </w:pPr>
      <w:r>
        <w:t>2.3. Перечень, содержание, объем и порядок реализации дисциплин (модулей)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82" w:history="1">
        <w:r>
          <w:rPr>
            <w:color w:val="0000FF"/>
          </w:rPr>
          <w:t>Таблицей</w:t>
        </w:r>
      </w:hyperlink>
      <w:r>
        <w:t xml:space="preserve"> настоящего ФГОС СПО, в очно-заочной форме обучения - не менее 25 процентов, в заочной форме - не менее 10 процентов.</w:t>
      </w:r>
    </w:p>
    <w:p w:rsidR="00547502" w:rsidRDefault="00547502">
      <w:pPr>
        <w:pStyle w:val="ConsPlusNormal"/>
        <w:spacing w:before="220"/>
        <w:ind w:firstLine="540"/>
        <w:jc w:val="both"/>
      </w:pPr>
      <w:proofErr w:type="gramStart"/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  <w:proofErr w:type="gramEnd"/>
    </w:p>
    <w:p w:rsidR="00547502" w:rsidRDefault="00547502">
      <w:pPr>
        <w:pStyle w:val="ConsPlusNormal"/>
        <w:spacing w:before="22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Образовательной программой для подгрупп девушек может быть предусмотрено </w:t>
      </w:r>
      <w:r>
        <w:lastRenderedPageBreak/>
        <w:t>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547502" w:rsidRDefault="00547502">
      <w:pPr>
        <w:pStyle w:val="ConsPlusNormal"/>
        <w:spacing w:before="220"/>
        <w:ind w:firstLine="540"/>
        <w:jc w:val="both"/>
      </w:pPr>
      <w:proofErr w:type="gramStart"/>
      <w:r>
        <w:t>Учебная</w:t>
      </w:r>
      <w:proofErr w:type="gramEnd"/>
      <w: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2.9. 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jc w:val="center"/>
        <w:outlineLvl w:val="1"/>
      </w:pPr>
      <w:bookmarkStart w:id="4" w:name="P118"/>
      <w:bookmarkEnd w:id="4"/>
      <w:r>
        <w:t>III. ТРЕБОВАНИЯ К РЕЗУЛЬТАТАМ ОСВОЕНИЯ</w:t>
      </w:r>
    </w:p>
    <w:p w:rsidR="00547502" w:rsidRDefault="00547502">
      <w:pPr>
        <w:pStyle w:val="ConsPlusTitle"/>
        <w:jc w:val="center"/>
      </w:pPr>
      <w:r>
        <w:t>ОБРАЗОВАТЕЛЬНОЙ ПРОГРАММЫ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ОК 04. Работать в коллективе и команде, эффективно взаимодействовать с коллегами, руководством, клиентами;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</w:r>
      <w:r>
        <w:lastRenderedPageBreak/>
        <w:t>подготовленности;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ОК 09. Использовать информационные технологии в профессиональной деятельности;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ОК 10. Пользоваться профессиональной документацией на государственном и иностранном языках;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3.3. Выпускник, освоивший образовательную программу, должен быть готов к выполнению основных видов деятельности, предусмотренных настоящим ФГОС СПО: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ведение расчетных операций;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осуществление кредитных операций.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3.4. 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деятельности: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3.4.1. Ведение расчетных операций: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ПК 1.1. Осуществлять расчетно-кассовое обслуживание клиентов;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ПК 1.2. Осуществлять безналичные платежи с использованием различных форм расчетов в национальной и иностранной валютах;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ПК 1.3. Осуществлять расчетное обслуживание счетов бюджетов различных уровней;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ПК 1.4. Осуществлять межбанковские расчеты;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ПК 1.5. Осуществлять международные расчеты по экспортно-импортным операциям;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ПК 1.6. Обслуживать расчетные операции с использованием различных видов платежных карт.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3.4.2. Осуществление кредитных операций: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ПК 2.1. Оценивать кредитоспособность клиентов;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ПК 2.2. Осуществлять и оформлять выдачу кредитов;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ПК 2.3. Осуществлять сопровождение выданных кредитов;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ПК 2.4. Проводить операции на рынке межбанковских кредитов;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ПК 2.5. Формировать и регулировать резервы на возможные потери по кредитам.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3.5. Обучающиеся, осваивающие образовательную программу, осваивают также профессию рабочего (одну или несколько) в соответствии с перечнем профессий рабочих, должностей служащих, рекомендуемых к освоению в рамках образовательной программы по специальности (</w:t>
      </w:r>
      <w:hyperlink w:anchor="P229" w:history="1">
        <w:r>
          <w:rPr>
            <w:color w:val="0000FF"/>
          </w:rPr>
          <w:t>приложение N 2</w:t>
        </w:r>
      </w:hyperlink>
      <w:r>
        <w:t xml:space="preserve"> к ФГОС СПО).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3.6. Минимальные требования к результатам освоения основных видов деятельности образовательной программы указаны в </w:t>
      </w:r>
      <w:hyperlink w:anchor="P259" w:history="1">
        <w:r>
          <w:rPr>
            <w:color w:val="0000FF"/>
          </w:rPr>
          <w:t>приложении N 3</w:t>
        </w:r>
      </w:hyperlink>
      <w:r>
        <w:t xml:space="preserve"> к настоящему ФГОС СПО.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3.7. Образовательная организация самостоятельно планирует результаты </w:t>
      </w:r>
      <w:proofErr w:type="gramStart"/>
      <w:r>
        <w:t>обучения по</w:t>
      </w:r>
      <w:proofErr w:type="gramEnd"/>
      <w:r>
        <w:t xml:space="preserve"> </w:t>
      </w:r>
      <w:r>
        <w:lastRenderedPageBreak/>
        <w:t>отдельным дисциплинам (модулям)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ОК и ПК, предусмотренных настоящим ФГОС СПО.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547502" w:rsidRDefault="00547502">
      <w:pPr>
        <w:pStyle w:val="ConsPlusTitle"/>
        <w:jc w:val="center"/>
      </w:pPr>
      <w:r>
        <w:t>ОБРАЗОВАТЕЛЬНОЙ ПРОГРАММЫ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4.2.2.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применение специально оборудованных помещений, их виртуальных аналогов, позволяющих обучающимся осваивать ОК и ПК.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4.3.4. 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из расчета одно печатное издание и (или) электронное издание по каждой дисциплине (модулю) на одного обучающегося.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lastRenderedPageBreak/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электронно-библиотечной системе (электронной библиотеке).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дисциплинам (модулям).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4.4.1. </w:t>
      </w:r>
      <w:proofErr w:type="gramStart"/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45" w:history="1">
        <w:r>
          <w:rPr>
            <w:color w:val="0000FF"/>
          </w:rPr>
          <w:t>пункте 1.6</w:t>
        </w:r>
      </w:hyperlink>
      <w:r>
        <w:t xml:space="preserve"> настоящего ФГОС СПО (имеющих стаж работы в данной профессиональной области не менее 3 лет).</w:t>
      </w:r>
      <w:proofErr w:type="gramEnd"/>
    </w:p>
    <w:p w:rsidR="00547502" w:rsidRDefault="0054750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547502" w:rsidRDefault="00547502">
      <w:pPr>
        <w:pStyle w:val="ConsPlusNormal"/>
        <w:spacing w:before="220"/>
        <w:ind w:firstLine="540"/>
        <w:jc w:val="both"/>
      </w:pPr>
      <w:proofErr w:type="gramStart"/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45" w:history="1">
        <w:r>
          <w:rPr>
            <w:color w:val="0000FF"/>
          </w:rPr>
          <w:t>пункте 1.6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  <w:proofErr w:type="gramEnd"/>
    </w:p>
    <w:p w:rsidR="00547502" w:rsidRDefault="00547502">
      <w:pPr>
        <w:pStyle w:val="ConsPlusNormal"/>
        <w:spacing w:before="220"/>
        <w:ind w:firstLine="540"/>
        <w:jc w:val="both"/>
      </w:pPr>
      <w:proofErr w:type="gramStart"/>
      <w:r>
        <w:t xml:space="preserve"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45" w:history="1">
        <w:r>
          <w:rPr>
            <w:color w:val="0000FF"/>
          </w:rPr>
          <w:t>пункте 1.6</w:t>
        </w:r>
      </w:hyperlink>
      <w:r>
        <w:t xml:space="preserve"> 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4.5.1.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lastRenderedPageBreak/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547502" w:rsidRDefault="00547502">
      <w:pPr>
        <w:pStyle w:val="ConsPlusNormal"/>
        <w:spacing w:before="220"/>
        <w:ind w:firstLine="540"/>
        <w:jc w:val="both"/>
      </w:pPr>
      <w:r>
        <w:t xml:space="preserve">4.6.3. </w:t>
      </w:r>
      <w:proofErr w:type="gramStart"/>
      <w: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right"/>
        <w:outlineLvl w:val="1"/>
      </w:pPr>
      <w:r>
        <w:t>Приложение N 1</w:t>
      </w:r>
    </w:p>
    <w:p w:rsidR="00547502" w:rsidRDefault="00547502">
      <w:pPr>
        <w:pStyle w:val="ConsPlusNormal"/>
        <w:jc w:val="right"/>
      </w:pPr>
      <w:r>
        <w:t>к федеральному государственному</w:t>
      </w:r>
    </w:p>
    <w:p w:rsidR="00547502" w:rsidRDefault="00547502">
      <w:pPr>
        <w:pStyle w:val="ConsPlusNormal"/>
        <w:jc w:val="right"/>
      </w:pPr>
      <w:r>
        <w:t>образовательному стандарту среднего</w:t>
      </w:r>
    </w:p>
    <w:p w:rsidR="00547502" w:rsidRDefault="00547502">
      <w:pPr>
        <w:pStyle w:val="ConsPlusNormal"/>
        <w:jc w:val="right"/>
      </w:pPr>
      <w:r>
        <w:t>профессионального образования</w:t>
      </w:r>
    </w:p>
    <w:p w:rsidR="00547502" w:rsidRDefault="00547502">
      <w:pPr>
        <w:pStyle w:val="ConsPlusNormal"/>
        <w:jc w:val="right"/>
      </w:pPr>
      <w:r>
        <w:t>по специальности 38.02.07</w:t>
      </w:r>
    </w:p>
    <w:p w:rsidR="00547502" w:rsidRDefault="00547502">
      <w:pPr>
        <w:pStyle w:val="ConsPlusNormal"/>
        <w:jc w:val="right"/>
      </w:pPr>
      <w:r>
        <w:t>Банковское дело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jc w:val="center"/>
      </w:pPr>
      <w:bookmarkStart w:id="5" w:name="P202"/>
      <w:bookmarkEnd w:id="5"/>
      <w:r>
        <w:t>ПЕРЕЧЕНЬ</w:t>
      </w:r>
    </w:p>
    <w:p w:rsidR="00547502" w:rsidRDefault="00547502">
      <w:pPr>
        <w:pStyle w:val="ConsPlusTitle"/>
        <w:jc w:val="center"/>
      </w:pPr>
      <w:r>
        <w:t>ПРОФЕССИОНАЛЬНЫХ СТАНДАРТОВ, СООТВЕТСТВУЮЩИХ</w:t>
      </w:r>
    </w:p>
    <w:p w:rsidR="00547502" w:rsidRDefault="00547502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547502" w:rsidRDefault="00547502">
      <w:pPr>
        <w:pStyle w:val="ConsPlusTitle"/>
        <w:jc w:val="center"/>
      </w:pPr>
      <w:r>
        <w:t>ПРОГРАММЫ СРЕДНЕГО ПРОФЕССИОНАЛЬНОГО ОБРАЗОВАНИЯ</w:t>
      </w:r>
    </w:p>
    <w:p w:rsidR="00547502" w:rsidRDefault="00547502">
      <w:pPr>
        <w:pStyle w:val="ConsPlusTitle"/>
        <w:jc w:val="center"/>
      </w:pPr>
      <w:r>
        <w:t>ПО СПЕЦИАЛЬНОСТИ 38.02.07 БАНКОВСКОЕ ДЕЛО</w:t>
      </w:r>
    </w:p>
    <w:p w:rsidR="00547502" w:rsidRDefault="005475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6917"/>
      </w:tblGrid>
      <w:tr w:rsidR="00547502">
        <w:tc>
          <w:tcPr>
            <w:tcW w:w="2154" w:type="dxa"/>
          </w:tcPr>
          <w:p w:rsidR="00547502" w:rsidRDefault="0054750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17" w:type="dxa"/>
          </w:tcPr>
          <w:p w:rsidR="00547502" w:rsidRDefault="00547502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547502">
        <w:tc>
          <w:tcPr>
            <w:tcW w:w="2154" w:type="dxa"/>
          </w:tcPr>
          <w:p w:rsidR="00547502" w:rsidRDefault="005475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547502" w:rsidRDefault="00547502">
            <w:pPr>
              <w:pStyle w:val="ConsPlusNormal"/>
              <w:jc w:val="center"/>
            </w:pPr>
            <w:r>
              <w:t>2</w:t>
            </w:r>
          </w:p>
        </w:tc>
      </w:tr>
      <w:tr w:rsidR="00547502">
        <w:tc>
          <w:tcPr>
            <w:tcW w:w="2154" w:type="dxa"/>
          </w:tcPr>
          <w:p w:rsidR="00547502" w:rsidRDefault="00547502">
            <w:pPr>
              <w:pStyle w:val="ConsPlusNormal"/>
              <w:jc w:val="center"/>
            </w:pPr>
            <w:r>
              <w:t>08.020</w:t>
            </w:r>
          </w:p>
        </w:tc>
        <w:tc>
          <w:tcPr>
            <w:tcW w:w="6917" w:type="dxa"/>
          </w:tcPr>
          <w:p w:rsidR="00547502" w:rsidRDefault="005475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залогами", утвержден приказом Министерства труда и социальной защиты Российской Федерации от 19 марта 2015 г. N 176н (зарегистрирован Министерством юстиции Российской Федерации 9 апреля 2015 г., регистрационный N 36798)</w:t>
            </w:r>
          </w:p>
        </w:tc>
      </w:tr>
      <w:tr w:rsidR="00547502">
        <w:tc>
          <w:tcPr>
            <w:tcW w:w="2154" w:type="dxa"/>
          </w:tcPr>
          <w:p w:rsidR="00547502" w:rsidRDefault="00547502">
            <w:pPr>
              <w:pStyle w:val="ConsPlusNormal"/>
              <w:jc w:val="center"/>
            </w:pPr>
            <w:r>
              <w:t>08.011</w:t>
            </w:r>
          </w:p>
        </w:tc>
        <w:tc>
          <w:tcPr>
            <w:tcW w:w="6917" w:type="dxa"/>
          </w:tcPr>
          <w:p w:rsidR="00547502" w:rsidRDefault="005475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ипотечному кредитованию", утвержден приказом Министерства труда и социальной защиты Российской Федерации от 19 марта 2015 г. N 171н (зарегистрирован Министерством юстиции Российской Федерации 31 марта 2015 г., регистрационный N 36640)</w:t>
            </w:r>
          </w:p>
        </w:tc>
      </w:tr>
      <w:tr w:rsidR="00547502">
        <w:tc>
          <w:tcPr>
            <w:tcW w:w="2154" w:type="dxa"/>
          </w:tcPr>
          <w:p w:rsidR="00547502" w:rsidRDefault="00547502">
            <w:pPr>
              <w:pStyle w:val="ConsPlusNormal"/>
              <w:jc w:val="center"/>
            </w:pPr>
            <w:r>
              <w:t>08.019</w:t>
            </w:r>
          </w:p>
        </w:tc>
        <w:tc>
          <w:tcPr>
            <w:tcW w:w="6917" w:type="dxa"/>
          </w:tcPr>
          <w:p w:rsidR="00547502" w:rsidRDefault="005475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потребительскому кредитованию", утвержден приказом Министерства труда и социальной защиты Российской Федерации от 14 ноября 2016 г. N 646н (зарегистрирован Министерством юстиции Российской Федерации 24 ноября 2016 г., регистрационный N 44422)</w:t>
            </w:r>
          </w:p>
        </w:tc>
      </w:tr>
      <w:tr w:rsidR="00547502">
        <w:tc>
          <w:tcPr>
            <w:tcW w:w="2154" w:type="dxa"/>
          </w:tcPr>
          <w:p w:rsidR="00547502" w:rsidRDefault="00547502">
            <w:pPr>
              <w:pStyle w:val="ConsPlusNormal"/>
              <w:jc w:val="center"/>
            </w:pPr>
            <w:r>
              <w:lastRenderedPageBreak/>
              <w:t>08.014</w:t>
            </w:r>
          </w:p>
        </w:tc>
        <w:tc>
          <w:tcPr>
            <w:tcW w:w="6917" w:type="dxa"/>
          </w:tcPr>
          <w:p w:rsidR="00547502" w:rsidRDefault="005475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просроченной задолженностью", утвержден приказом Министерства труда и социальной защиты Российской Федерации от 7 сентября 2015 г. N 590н (зарегистрирован Министерством юстиции Российской Федерации 29 сентября 2015 г., регистрационный N 39053)</w:t>
            </w:r>
          </w:p>
        </w:tc>
      </w:tr>
      <w:tr w:rsidR="00547502">
        <w:tc>
          <w:tcPr>
            <w:tcW w:w="2154" w:type="dxa"/>
          </w:tcPr>
          <w:p w:rsidR="00547502" w:rsidRDefault="00547502">
            <w:pPr>
              <w:pStyle w:val="ConsPlusNormal"/>
              <w:jc w:val="center"/>
            </w:pPr>
            <w:r>
              <w:t>08.027</w:t>
            </w:r>
          </w:p>
        </w:tc>
        <w:tc>
          <w:tcPr>
            <w:tcW w:w="6917" w:type="dxa"/>
          </w:tcPr>
          <w:p w:rsidR="00547502" w:rsidRDefault="005475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услугам", утвержден приказом Министерства труда и социальной защиты Российской Федерации от 14 ноября 2016 г. N 645н (зарегистрирован Министерством юстиции Российской Федерации 24 ноября 2016 г., регистрационный N 44419)</w:t>
            </w:r>
          </w:p>
        </w:tc>
      </w:tr>
      <w:tr w:rsidR="00547502">
        <w:tc>
          <w:tcPr>
            <w:tcW w:w="2154" w:type="dxa"/>
          </w:tcPr>
          <w:p w:rsidR="00547502" w:rsidRDefault="00547502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6917" w:type="dxa"/>
          </w:tcPr>
          <w:p w:rsidR="00547502" w:rsidRDefault="00547502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</w:tbl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right"/>
        <w:outlineLvl w:val="1"/>
      </w:pPr>
      <w:bookmarkStart w:id="6" w:name="P229"/>
      <w:bookmarkEnd w:id="6"/>
      <w:r>
        <w:t>Приложение N 2</w:t>
      </w:r>
    </w:p>
    <w:p w:rsidR="00547502" w:rsidRDefault="00547502">
      <w:pPr>
        <w:pStyle w:val="ConsPlusNormal"/>
        <w:jc w:val="right"/>
      </w:pPr>
      <w:r>
        <w:t>к федеральному государственному</w:t>
      </w:r>
    </w:p>
    <w:p w:rsidR="00547502" w:rsidRDefault="00547502">
      <w:pPr>
        <w:pStyle w:val="ConsPlusNormal"/>
        <w:jc w:val="right"/>
      </w:pPr>
      <w:r>
        <w:t>образовательному стандарту среднего</w:t>
      </w:r>
    </w:p>
    <w:p w:rsidR="00547502" w:rsidRDefault="00547502">
      <w:pPr>
        <w:pStyle w:val="ConsPlusNormal"/>
        <w:jc w:val="right"/>
      </w:pPr>
      <w:r>
        <w:t>профессионального образования</w:t>
      </w:r>
    </w:p>
    <w:p w:rsidR="00547502" w:rsidRDefault="00547502">
      <w:pPr>
        <w:pStyle w:val="ConsPlusNormal"/>
        <w:jc w:val="right"/>
      </w:pPr>
      <w:r>
        <w:t>по специальности 38.02.07</w:t>
      </w:r>
    </w:p>
    <w:p w:rsidR="00547502" w:rsidRDefault="00547502">
      <w:pPr>
        <w:pStyle w:val="ConsPlusNormal"/>
        <w:jc w:val="right"/>
      </w:pPr>
      <w:r>
        <w:t>Банковское дело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jc w:val="center"/>
      </w:pPr>
      <w:r>
        <w:t>ПЕРЕЧЕНЬ</w:t>
      </w:r>
    </w:p>
    <w:p w:rsidR="00547502" w:rsidRDefault="00547502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547502" w:rsidRDefault="00547502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547502" w:rsidRDefault="00547502">
      <w:pPr>
        <w:pStyle w:val="ConsPlusTitle"/>
        <w:jc w:val="center"/>
      </w:pPr>
      <w:r>
        <w:t>СРЕДНЕГО ЗВЕНА ПО СПЕЦИАЛЬНОСТИ 38.02.07 БАНКОВСКОЕ ДЕЛО</w:t>
      </w:r>
    </w:p>
    <w:p w:rsidR="00547502" w:rsidRDefault="005475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5"/>
        <w:gridCol w:w="3685"/>
      </w:tblGrid>
      <w:tr w:rsidR="00547502">
        <w:tc>
          <w:tcPr>
            <w:tcW w:w="5385" w:type="dxa"/>
          </w:tcPr>
          <w:p w:rsidR="00547502" w:rsidRDefault="00547502">
            <w:pPr>
              <w:pStyle w:val="ConsPlusNormal"/>
              <w:jc w:val="center"/>
            </w:pPr>
            <w:proofErr w:type="gramStart"/>
            <w:r>
              <w:t xml:space="preserve">Код по </w:t>
            </w:r>
            <w:hyperlink r:id="rId17" w:history="1">
              <w:r>
                <w:rPr>
                  <w:color w:val="0000FF"/>
                </w:rPr>
                <w:t>Перечню</w:t>
              </w:r>
            </w:hyperlink>
            <w:r>
              <w:t xml:space="preserve">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изменениями, внесенными приказами Министерства образования и науки Российской Федерации от 16 декабря 2013 г. N 1348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 xml:space="preserve">Федерации 29 января 2014 г., регистрационный N 31163), от 28 марта 2014 г. N 244 (зарегистрирован Министерством юстиции Российской Федерации 15 апреля 2014 г., регистрационный N 31953), от 27 июня 2014 г. N 695 (зарегистрирован Министерством юстиции Российской Федерации 22 июля 2014 г., регистрационный N 33205) и от 3 февраля 2017 г. N 106 </w:t>
            </w:r>
            <w:r>
              <w:lastRenderedPageBreak/>
              <w:t>(зарегистрирован Министерством юстиции Российской Федерации 11</w:t>
            </w:r>
            <w:proofErr w:type="gramEnd"/>
            <w:r>
              <w:t xml:space="preserve"> апреля 2017 г., регистрационный N 46339)</w:t>
            </w:r>
          </w:p>
        </w:tc>
        <w:tc>
          <w:tcPr>
            <w:tcW w:w="3685" w:type="dxa"/>
          </w:tcPr>
          <w:p w:rsidR="00547502" w:rsidRDefault="00547502">
            <w:pPr>
              <w:pStyle w:val="ConsPlusNormal"/>
              <w:jc w:val="center"/>
            </w:pPr>
            <w:r>
              <w:lastRenderedPageBreak/>
              <w:t>Наименование профессий рабочих, должностей служащих</w:t>
            </w:r>
          </w:p>
        </w:tc>
      </w:tr>
      <w:tr w:rsidR="00547502">
        <w:tc>
          <w:tcPr>
            <w:tcW w:w="5385" w:type="dxa"/>
          </w:tcPr>
          <w:p w:rsidR="00547502" w:rsidRDefault="00547502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20002</w:t>
              </w:r>
            </w:hyperlink>
          </w:p>
        </w:tc>
        <w:tc>
          <w:tcPr>
            <w:tcW w:w="3685" w:type="dxa"/>
          </w:tcPr>
          <w:p w:rsidR="00547502" w:rsidRDefault="00547502">
            <w:pPr>
              <w:pStyle w:val="ConsPlusNormal"/>
              <w:jc w:val="both"/>
            </w:pPr>
            <w:r>
              <w:t>Агент банка</w:t>
            </w:r>
          </w:p>
        </w:tc>
      </w:tr>
      <w:tr w:rsidR="00547502">
        <w:tc>
          <w:tcPr>
            <w:tcW w:w="5385" w:type="dxa"/>
          </w:tcPr>
          <w:p w:rsidR="00547502" w:rsidRDefault="00547502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23548</w:t>
              </w:r>
            </w:hyperlink>
          </w:p>
        </w:tc>
        <w:tc>
          <w:tcPr>
            <w:tcW w:w="3685" w:type="dxa"/>
          </w:tcPr>
          <w:p w:rsidR="00547502" w:rsidRDefault="00547502">
            <w:pPr>
              <w:pStyle w:val="ConsPlusNormal"/>
              <w:jc w:val="both"/>
            </w:pPr>
            <w:r>
              <w:t>Контролер (Сберегательного банка)</w:t>
            </w:r>
          </w:p>
        </w:tc>
      </w:tr>
    </w:tbl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right"/>
        <w:outlineLvl w:val="1"/>
      </w:pPr>
      <w:r>
        <w:t>Приложение N 3</w:t>
      </w:r>
    </w:p>
    <w:p w:rsidR="00547502" w:rsidRDefault="00547502">
      <w:pPr>
        <w:pStyle w:val="ConsPlusNormal"/>
        <w:jc w:val="right"/>
      </w:pPr>
      <w:r>
        <w:t>к федеральному государственному</w:t>
      </w:r>
    </w:p>
    <w:p w:rsidR="00547502" w:rsidRDefault="00547502">
      <w:pPr>
        <w:pStyle w:val="ConsPlusNormal"/>
        <w:jc w:val="right"/>
      </w:pPr>
      <w:r>
        <w:t>образовательному стандарту среднего</w:t>
      </w:r>
    </w:p>
    <w:p w:rsidR="00547502" w:rsidRDefault="00547502">
      <w:pPr>
        <w:pStyle w:val="ConsPlusNormal"/>
        <w:jc w:val="right"/>
      </w:pPr>
      <w:r>
        <w:t>профессионального образования</w:t>
      </w:r>
    </w:p>
    <w:p w:rsidR="00547502" w:rsidRDefault="00547502">
      <w:pPr>
        <w:pStyle w:val="ConsPlusNormal"/>
        <w:jc w:val="right"/>
      </w:pPr>
      <w:r>
        <w:t>по специальности 38.02.07</w:t>
      </w:r>
    </w:p>
    <w:p w:rsidR="00547502" w:rsidRDefault="00547502">
      <w:pPr>
        <w:pStyle w:val="ConsPlusNormal"/>
        <w:jc w:val="right"/>
      </w:pPr>
      <w:r>
        <w:t>Банковское дело</w:t>
      </w: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Title"/>
        <w:jc w:val="center"/>
      </w:pPr>
      <w:bookmarkStart w:id="7" w:name="P259"/>
      <w:bookmarkEnd w:id="7"/>
      <w:r>
        <w:t>МИНИМАЛЬНЫЕ ТРЕБОВАНИЯ</w:t>
      </w:r>
    </w:p>
    <w:p w:rsidR="00547502" w:rsidRDefault="00547502">
      <w:pPr>
        <w:pStyle w:val="ConsPlusTitle"/>
        <w:jc w:val="center"/>
      </w:pPr>
      <w:r>
        <w:t>К РЕЗУЛЬТАТАМ ОСВОЕНИЯ ОСНОВНЫХ ВИДОВ ДЕЯТЕЛЬНОСТИ</w:t>
      </w:r>
    </w:p>
    <w:p w:rsidR="00547502" w:rsidRDefault="00547502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547502" w:rsidRDefault="00547502">
      <w:pPr>
        <w:pStyle w:val="ConsPlusTitle"/>
        <w:jc w:val="center"/>
      </w:pPr>
      <w:r>
        <w:t>ОБРАЗОВАНИЯ ПО СПЕЦИАЛЬНОСТИ 38.02.07 БАНКОВСКОЕ ДЕЛО</w:t>
      </w:r>
    </w:p>
    <w:p w:rsidR="00547502" w:rsidRDefault="005475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89"/>
      </w:tblGrid>
      <w:tr w:rsidR="00547502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547502" w:rsidRDefault="00547502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</w:tcPr>
          <w:p w:rsidR="00547502" w:rsidRDefault="00547502">
            <w:pPr>
              <w:pStyle w:val="ConsPlusNormal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547502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547502" w:rsidRDefault="00547502">
            <w:pPr>
              <w:pStyle w:val="ConsPlusNormal"/>
            </w:pPr>
            <w:r>
              <w:t>Ведение расчетных операций</w:t>
            </w:r>
          </w:p>
        </w:tc>
        <w:tc>
          <w:tcPr>
            <w:tcW w:w="6689" w:type="dxa"/>
            <w:tcBorders>
              <w:top w:val="single" w:sz="4" w:space="0" w:color="auto"/>
              <w:bottom w:val="nil"/>
            </w:tcBorders>
          </w:tcPr>
          <w:p w:rsidR="00547502" w:rsidRDefault="00547502">
            <w:pPr>
              <w:pStyle w:val="ConsPlusNormal"/>
            </w:pPr>
            <w:r>
              <w:t>знать: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локальные нормативные акты и методические документы в области платежных услуг;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нормы международного права, определяющие правила проведения международных расчетов;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содержание и порядок формирования юридических дел клиентов;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открытия и закрытия лицевых счетов клиентов в валюте Российской Федерации и иностранной валюте;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правила совершения операций по расчетным счетам, очередность списания денежных средств;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оформления, представления, отзыва и возврата расчетных документов;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планирования операций с наличностью;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лимитирования остатков денежной наличности в кассах клиентов;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формы расчетов и технологии совершения расчетных операций;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содержание и порядок заполнения расчетных документов;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нумерации лицевых счетов, на которых учитываются средства бюджетов;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 xml:space="preserve">порядок и особенности проведения операций по счетам </w:t>
            </w:r>
            <w:r>
              <w:lastRenderedPageBreak/>
              <w:t>бюджетов различных уровней;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системы межбанковских расчетов;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проведения и учет расчетов по корреспондентским счетам, открываемым в подразделениях Банка России;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проведения и учет расчетов между кредитными организациями через корреспондентские счета (ЛОРО и НОСТРО);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проведения и учет расчетных операций между филиалами внутри одной кредитной организации;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формы международных расчетов: аккредитивы, инкассо, переводы, чеки;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виды платежных документов, порядок проверки их соответствия условиям и формам расчетов;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проведения и отражение в учете операций международных расчетов с использованием различных форм;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и отражение в учете переоценки средств в иностранной валюте;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расчета размеров открытых валютных позиций;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выполнения уполномоченным банком функций агента валютного контроля;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меры, направленные на предотвращение использования транснациональных операций для преступных целей;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системы международных финансовых телекоммуникаций;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виды платежных карт и операции, проводимые с их использованием;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условия и порядок выдачи платежных карт;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типичные нарушения при совершении расчетных операций по счетам клиентов, межбанковских расчетов, операций с платежными картами.</w:t>
            </w:r>
          </w:p>
        </w:tc>
      </w:tr>
      <w:tr w:rsidR="00547502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547502" w:rsidRDefault="00547502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bottom w:val="nil"/>
            </w:tcBorders>
          </w:tcPr>
          <w:p w:rsidR="00547502" w:rsidRDefault="00547502">
            <w:pPr>
              <w:pStyle w:val="ConsPlusNormal"/>
            </w:pPr>
            <w:r>
              <w:t>уметь: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договоры банковского счета с клиентами;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проверять правильность и полноту оформления расчетных документов;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открывать и закрывать лицевые счета в валюте Российской Федерации и иностранной валюте;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выписки из лицевых счетов клиентов;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рассчитывать и взыскивать суммы вознаграждения за расчетное обслуживание;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рассчитывать прогноз кассовых оборотов;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составлять календарь выдачи наличных денег;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рассчитывать минимальный остаток денежной наличности в кассе;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составлять отчет о наличном денежном обороте;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устанавливать лимит остатков денежной наличности в кассах клиентов;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 xml:space="preserve">выполнять и оформлять расчеты платежными поручениями, аккредитивами в банке плательщика и в банке поставщика, </w:t>
            </w:r>
            <w:r>
              <w:lastRenderedPageBreak/>
              <w:t>платежными требованиями в банке поставщика и в банке плательщика, инкассовыми поручениями, чеками;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отражать в учете операции по расчетным счетам клиентов;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исполнять и оформлять операции по возврату сумм, неправильно зачисленных на счета клиентов;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открытие счетов по учету доходов и средств бюджетов всех уровней;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и отражать в учете операции по зачислению средств на счета бюджетов различных уровней;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и отражать в учете возврат налогоплательщикам сумм ошибочно перечисленных налогов и других платежей;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исполнять и оформлять операции по корреспондентскому счету, открытому в подразделении Банка России;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проводить расчеты между кредитными организациями через счета ЛОРО и НОСТРО;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контролировать и выверять расчеты по корреспондентским счетам;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осуществлять и оформлять расчеты банка со своими филиалами;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вести учет расчетных документов, не оплаченных в срок из-за отсутствия средств на корреспондентском счете;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отражать в учете межбанковские расчеты;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проводить конверсионные операции по счетам клиентов;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рассчитывать и взыскивать суммы вознаграждения за проведение международных расчетов и конверсионных операций;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репатриацией валютной выручки;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выдачу клиентам платежных карт;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      </w:r>
          </w:p>
        </w:tc>
      </w:tr>
      <w:tr w:rsidR="00547502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547502" w:rsidRDefault="00547502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bottom w:val="single" w:sz="4" w:space="0" w:color="auto"/>
            </w:tcBorders>
          </w:tcPr>
          <w:p w:rsidR="00547502" w:rsidRDefault="00547502">
            <w:pPr>
              <w:pStyle w:val="ConsPlusNormal"/>
              <w:ind w:firstLine="283"/>
              <w:jc w:val="both"/>
            </w:pPr>
            <w:r>
      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информацией.</w:t>
            </w:r>
          </w:p>
          <w:p w:rsidR="00547502" w:rsidRDefault="00547502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расчетных операций.</w:t>
            </w:r>
          </w:p>
        </w:tc>
      </w:tr>
      <w:tr w:rsidR="00547502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547502" w:rsidRDefault="00547502">
            <w:pPr>
              <w:pStyle w:val="ConsPlusNormal"/>
              <w:jc w:val="both"/>
            </w:pPr>
            <w:r>
              <w:t>Осуществление кредитных операций</w:t>
            </w:r>
          </w:p>
        </w:tc>
        <w:tc>
          <w:tcPr>
            <w:tcW w:w="6689" w:type="dxa"/>
            <w:tcBorders>
              <w:top w:val="single" w:sz="4" w:space="0" w:color="auto"/>
              <w:bottom w:val="nil"/>
            </w:tcBorders>
          </w:tcPr>
          <w:p w:rsidR="00547502" w:rsidRDefault="00547502">
            <w:pPr>
              <w:pStyle w:val="ConsPlusNormal"/>
            </w:pPr>
            <w:r>
              <w:t>знать: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нормативные правовые акты, регулирующие осуществление кредитных операций и обеспечение кредитных обязательств;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законодательство Российской Федерации о персональных данных;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lastRenderedPageBreak/>
              <w:t>нормативные документы Банка России об идентификации клиентов и внутреннем контроле (аудите);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рекомендации Ассоциации региональных банков России по вопросам определения кредитоспособности заемщиков;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взаимодействия с бюро кредитных историй;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законодательство Российской Федерации о защите прав потребителей, в том числе потребителей финансовых услуг;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законодательство Российской Федерации о залогах и поручительстве;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гражданское законодательство Российской Федерации об ответственности за неисполнение условий договора;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законодательство Российской Федерации об ипотеке;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законодательство Российской Федерации о государственной регистрации прав на недвижимое имущество и сделок с ним;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способы и порядок предоставления и погашения различных видов кредитов;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способы обеспечения возвратности кредита, виды залога;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методы оценки залоговой стоимости, ликвидности предмета залога;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требования, предъявляемые банком к потенциальному заемщику;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состав и содержание основных источников информации о клиенте;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методы оценки платежеспособности физического лица, системы кредитного скоринга;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локальные нормативные акты и методические документы, касающиеся реструктуризации и рефинансирования задолженности физических лиц;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бизнес-культуру потребительского кредитования;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методы андеррайтинга кредитных заявок клиентов;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методы андеррайтинга предмета ипотеки;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методы определения класса кредитоспособности юридического лица;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содержание кредитного договора, порядок его заключения, изменения условий и расторжения;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состав кредитного дела и порядок его ведения;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способы и порядок начисления и погашения процентов по кредитам;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критерии определения проблемного кредита;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типовые причины неисполнения условий кредитного договора и способы погашения просроченной задолженности;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меры, принимаемые банком при нарушении условий кредитного договора;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отечественную и международную практику взыскания задолженности;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кредитам;</w:t>
            </w:r>
          </w:p>
        </w:tc>
      </w:tr>
      <w:tr w:rsidR="00547502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547502" w:rsidRDefault="00547502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bottom w:val="nil"/>
            </w:tcBorders>
          </w:tcPr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оформления и учета межбанковских кредитов;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особенности делопроизводства и документооборот на межбанковском рынке;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основные условия получения и погашения кредитов, предоставляемых Банком России;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оценки кредитного риска и определения суммы создаваемого резерва по выданному кредиту;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и отражение в учете формирования и регулирования резервов на возможные потери по кредитам;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порядок и отражение в учете списания нереальных для взыскания кредитов;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типичные нарушения при осуществлении кредитных операций.</w:t>
            </w:r>
          </w:p>
          <w:p w:rsidR="00547502" w:rsidRDefault="00547502">
            <w:pPr>
              <w:pStyle w:val="ConsPlusNormal"/>
            </w:pPr>
            <w:r>
              <w:t>уметь: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консультировать заемщиков по условиям предоставления и порядку погашения кредитов;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анализировать финансовое положение заемщика - юридического лица и технико-экономическое обоснование кредита;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определять платежеспособность физического лица;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оценивать качество обеспечения и кредитные риски по потребительским кредитам;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проверять полноту и подлинность документов заемщика для получения кредитов;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проверять качество и достаточность обеспечения возвратности кредита;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составлять заключение о возможности предоставления кредита;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оперативно принимать решения по предложению клиенту дополнительного банковского продукта (кросс-продажа);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проводить андеррайтинг кредитных заявок клиентов;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проводить андеррайтинг предмета ипотеки;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составлять договор о залоге;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пакет документов для заключения договора о залоге;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комплект документов на открытие счетов и выдачу кредитов различных видов;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выписки по лицевым счетам заемщиков и разъяснять им содержащиеся в выписках данные;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формировать и вести кредитные дела;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составлять акты по итогам проверок сохранности обеспечения;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определять возможность предоставления межбанковского кредита с учетом финансового положения контрагента;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определять достаточность обеспечения возвратности межбанковского кредита;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пользоваться справочными информационными базами данных, необходимых для сотрудничества на межбанковском рынке;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и отражать в учете операции по выдаче кредитов физическим и юридическим лицам, погашению ими кредитов;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lastRenderedPageBreak/>
              <w:t>оформлять и вести учет обеспечения по предоставленным кредитам;</w:t>
            </w:r>
          </w:p>
        </w:tc>
      </w:tr>
      <w:tr w:rsidR="00547502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547502" w:rsidRDefault="00547502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bottom w:val="single" w:sz="4" w:space="0" w:color="auto"/>
            </w:tcBorders>
          </w:tcPr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и отражать в учете сделки по предоставлению и получению кредитов на рынке межбанковского кредита;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и отражать в учете начисление и взыскание процентов по кредитам;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вести мониторинг финансового положения клиента;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контролировать соответствие и правильность исполнения залогодателем своих обязательств;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оценивать качество обслуживания долга и кредитный риск по выданным кредитам;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выбирать формы и методы взаимодействия с заемщиком, имеющим просроченную задолженность;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направлять запросы в бюро кредитных историй в соответствии с требованиями действующего регламента;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находить контактные данные заемщика в открытых источниках и специализированных базах данных;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подбирать оптимальный способ погашения просроченной задолженности;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рассчитывать основные параметры реструктуризации и рефинансирования потребительского кредита;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рассчитывать и отражать в учете сумму формируемого резерва;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рассчитывать и отражать в учете резерв по портфелю однородных кредитов;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и вести учет просроченных кредитов и просроченных процентов;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оформлять и вести учет списания просроченных кредитов и просроченных процентов;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r>
              <w:t>использовать специализированное программное обеспечение для совершения операций по кредитованию.</w:t>
            </w:r>
          </w:p>
          <w:p w:rsidR="00547502" w:rsidRDefault="00547502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547502" w:rsidRDefault="00547502">
            <w:pPr>
              <w:pStyle w:val="ConsPlusNormal"/>
              <w:ind w:firstLine="283"/>
              <w:jc w:val="both"/>
            </w:pPr>
            <w:proofErr w:type="gramStart"/>
            <w:r>
              <w:t>осуществлении</w:t>
            </w:r>
            <w:proofErr w:type="gramEnd"/>
            <w:r>
              <w:t xml:space="preserve"> операций по кредитованию физических и юридических лиц.</w:t>
            </w:r>
          </w:p>
        </w:tc>
      </w:tr>
    </w:tbl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jc w:val="both"/>
      </w:pPr>
    </w:p>
    <w:p w:rsidR="00547502" w:rsidRDefault="005475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A6F" w:rsidRDefault="00F40A6F"/>
    <w:sectPr w:rsidR="00F40A6F" w:rsidSect="0087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547502"/>
    <w:rsid w:val="003D366F"/>
    <w:rsid w:val="00547502"/>
    <w:rsid w:val="00947A02"/>
    <w:rsid w:val="00F4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75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75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E0240E5E89110C3C023B08AAE36048609862EF1C0B5E514CA5E8098D7E52A2BC51388A7BAFED824635EA38B07569962D9A6EEE6438F9DDo1TAC" TargetMode="External"/><Relationship Id="rId13" Type="http://schemas.openxmlformats.org/officeDocument/2006/relationships/hyperlink" Target="consultantplus://offline/ref=7AE0240E5E89110C3C023B08AAE36048609961EF160E5E514CA5E8098D7E52A2BC51388A7BAFED864835EA38B07569962D9A6EEE6438F9DDo1TAC" TargetMode="External"/><Relationship Id="rId18" Type="http://schemas.openxmlformats.org/officeDocument/2006/relationships/hyperlink" Target="consultantplus://offline/ref=7AE0240E5E89110C3C023B08AAE36048619864E0180B5E514CA5E8098D7E52A2BC51388A7AA7E5864935EA38B07569962D9A6EEE6438F9DDo1TA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AE0240E5E89110C3C023B08AAE36048609862EF1C0B5E514CA5E8098D7E52A2BC51388A7BAFED804535EA38B07569962D9A6EEE6438F9DDo1TAC" TargetMode="External"/><Relationship Id="rId12" Type="http://schemas.openxmlformats.org/officeDocument/2006/relationships/hyperlink" Target="consultantplus://offline/ref=7AE0240E5E89110C3C023B08AAE36048639E61ED1B085E514CA5E8098D7E52A2BC51388A7BAFED864835EA38B07569962D9A6EEE6438F9DDo1TAC" TargetMode="External"/><Relationship Id="rId17" Type="http://schemas.openxmlformats.org/officeDocument/2006/relationships/hyperlink" Target="consultantplus://offline/ref=7AE0240E5E89110C3C023B08AAE36048619864E0180B5E514CA5E8098D7E52A2BC51388A7BAFED874335EA38B07569962D9A6EEE6438F9DDo1TA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E0240E5E89110C3C023B08AAE36048609961EF160C5E514CA5E8098D7E52A2BC51388A7BAFED864835EA38B07569962D9A6EEE6438F9DDo1TA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E0240E5E89110C3C023B08AAE36048639F6EE01D0D5E514CA5E8098D7E52A2BC51388A7BAFED874335EA38B07569962D9A6EEE6438F9DDo1TAC" TargetMode="External"/><Relationship Id="rId11" Type="http://schemas.openxmlformats.org/officeDocument/2006/relationships/hyperlink" Target="consultantplus://offline/ref=7AE0240E5E89110C3C023B08AAE36048639E6EEA1E0C5E514CA5E8098D7E52A2BC51388A7BAFED864835EA38B07569962D9A6EEE6438F9DDo1TAC" TargetMode="External"/><Relationship Id="rId5" Type="http://schemas.openxmlformats.org/officeDocument/2006/relationships/hyperlink" Target="consultantplus://offline/ref=7AE0240E5E89110C3C023B08AAE36048609161EE1F035E514CA5E8098D7E52A2BC51388A7BAFED824335EA38B07569962D9A6EEE6438F9DDo1TAC" TargetMode="External"/><Relationship Id="rId15" Type="http://schemas.openxmlformats.org/officeDocument/2006/relationships/hyperlink" Target="consultantplus://offline/ref=7AE0240E5E89110C3C023B08AAE36048609961EF160D5E514CA5E8098D7E52A2BC51388A7BAFED864835EA38B07569962D9A6EEE6438F9DDo1TAC" TargetMode="External"/><Relationship Id="rId10" Type="http://schemas.openxmlformats.org/officeDocument/2006/relationships/hyperlink" Target="consultantplus://offline/ref=7AE0240E5E89110C3C023B08AAE3604860996EEF160C5E514CA5E8098D7E52A2BC51388A7BAFE4804235EA38B07569962D9A6EEE6438F9DDo1TAC" TargetMode="External"/><Relationship Id="rId19" Type="http://schemas.openxmlformats.org/officeDocument/2006/relationships/hyperlink" Target="consultantplus://offline/ref=7AE0240E5E89110C3C023B08AAE36048619864E0180B5E514CA5E8098D7E52A2BC51388A7AA6ED834735EA38B07569962D9A6EEE6438F9DDo1TA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E0240E5E89110C3C023B08AAE36048619862EB160B5E514CA5E8098D7E52A2BC51388A7BAFEF824835EA38B07569962D9A6EEE6438F9DDo1TAC" TargetMode="External"/><Relationship Id="rId14" Type="http://schemas.openxmlformats.org/officeDocument/2006/relationships/hyperlink" Target="consultantplus://offline/ref=7AE0240E5E89110C3C023B08AAE36048639160E11D095E514CA5E8098D7E52A2BC51388A7BAFED864835EA38B07569962D9A6EEE6438F9DDo1T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6637</Words>
  <Characters>37837</Characters>
  <Application>Microsoft Office Word</Application>
  <DocSecurity>0</DocSecurity>
  <Lines>315</Lines>
  <Paragraphs>88</Paragraphs>
  <ScaleCrop>false</ScaleCrop>
  <Company/>
  <LinksUpToDate>false</LinksUpToDate>
  <CharactersWithSpaces>44386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kiriakova_nv</dc:creator>
  <cp:lastModifiedBy>kiriakova_nv</cp:lastModifiedBy>
  <cp:revision>1</cp:revision>
  <dcterms:created xsi:type="dcterms:W3CDTF">2019-01-29T02:19:00Z</dcterms:created>
  <dcterms:modified xsi:type="dcterms:W3CDTF">2019-01-29T02:20:00Z</dcterms:modified>
</cp:coreProperties>
</file>