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10 апреля 2020 г. N ВБ-806/08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ОБЕСПЕЧЕНИИ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СОХРАНЕНИЯ УРОВНЯ ЗАРАБОТНОЙ ПЛАТЫ ОТДЕЛЬНЫХ КАТЕГОРИЙ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ПЕДАГОГИЧЕСКИХ РАБОТНИКОВ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запросами, поступающими от работников муниципальных образовательных организаций субъектов Российской Федерации о возникновении проблем, связанных с сохранением уровня заработной платы педагогических работников в условиях предупреждения распространения новой коронавирусной инфекции и, как следствие, организации обучения на дому с использованием дистанционных технологий, Минпросвещения России обращает внимание руководителей органов исполнительной власти субъектов Российской Федерации, осуществляющих государственное управление в сфере образования, на следующее.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электронного обучения и дистанционных образовательных технологий не снижает норму часов педагогической работы и не может являться основанием для уменьшения размера заработной платы, включая компенсационные и стимулирующие выплаты, в том числе при переводе работников (педагогических и иных) на режим удаленной (дистанционной) работы.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случаях, когда педагогическому работнику не может обеспечиваться необходимая норма учебной (преподавательской) работы за ставку заработной платы, установленная 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норма часов педагогической работы может выполняться путем осуществления иной работы, не подразумевающей контакта с обучающимися и их родителями (законными представителями) - методической, организационной, научной, творческой, исследовательской.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Особенностями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деятельность, утвержденными приказом Министерства образования и науки Российской Федерации от 11 мая 2016 г. N 536 (далее - Особенности),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и иных работников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5.1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Особенностей), которые привлекаются к выполнению работ в порядке и на условиях, предусмотренных для режима рабочего времени работников организации в каникулярное время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5.2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Особенностей). В соответствии 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пунктами 4.1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 периоды каникулярного времени, установленные для обучающихся организации и не совпадающие для педагогических и иных работников с установленными им ежегодными оплачиваемыми отпусками, являются для таких работников рабочим временем с оплатой труда в соответствии с законодательством Российской Федерации; в каникулярное время педагогические работники выполняют методическую и организационную работу, а также иные виды работы, предусмотренные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2.3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Особенностей; работники из числа учебно-вспомогательного и обслуживающего персонала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сложившихся условиях методическая и организационная работа педагогических и иных работников образовательных организаций может быть ориентирована, помимо прочего, на подготовку образовательного контента и разработку образовательных технологий, направленных на обеспечение готовности каждой образовательной организации и ее работников к ведению образовательного процесса с применением электронного обучения и дистанционных образовательных технологий (как в отношении отдельных обучающихся, так и в отношении классов (групп), всей образовательной организации), необходимость в которых может быть вызвана различными обстоятельствами, в том числе в целях углубления и (или) повторения материала, изученного в марте-апреле 2020 года.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Учитывая, что в соответствии с Указами Президента Российской Федерации от 25 марта 2020 г.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206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 апреля 2020 г.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239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большинства работающего населения Российской Федерации установлены нерабочие дни с сохранением за работниками заработной платы, а Правительством Российской Федерации принимаются меры по финансовой поддержке различных категорий граждан и организаций, ставить вопрос о снижении заработной платы работников, продолжающих свою трудовую деятельность, недопустимо.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Данная позиция Минпросвещения России коррелирует с разъяснениями Профсоюза работников народного образования и науки Российской Федерации об особенностях режима рабочего времени и времени отдыха педагогических работников организаций, осуществляющих образовательную деятельность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письмо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марта 2020 г. N 164) и соотносится с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Рекомендациями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работникам и работодателям в связи с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Указом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Президента Российской Федерации от 25 марта 2020 г. N 206 "Об объявлении в Российской Федерации нерабочих дней", доведенными письмом Минтруда России от 26 марта 2020 г. N 14-4/10/П-2696.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В.С.БАСЮК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/>
      <w:pgMar w:bottom="1440" w:top="1440" w:left="1133" w:right="56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7.0" w:type="dxa"/>
      <w:jc w:val="left"/>
      <w:tblInd w:w="40.0" w:type="pct"/>
      <w:tblLayout w:type="fixed"/>
      <w:tblLook w:val="0000"/>
    </w:tblPr>
    <w:tblGrid>
      <w:gridCol w:w="3320"/>
      <w:gridCol w:w="3527"/>
      <w:gridCol w:w="3320"/>
      <w:tblGridChange w:id="0">
        <w:tblGrid>
          <w:gridCol w:w="3320"/>
          <w:gridCol w:w="3527"/>
          <w:gridCol w:w="3320"/>
        </w:tblGrid>
      </w:tblGridChange>
    </w:tblGrid>
    <w:tr>
      <w:trPr>
        <w:trHeight w:val="1663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надежная правовая поддержка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Страница 1 из 2</w:t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167.0" w:type="dxa"/>
      <w:jc w:val="left"/>
      <w:tblInd w:w="40.0" w:type="pct"/>
      <w:tblLayout w:type="fixed"/>
      <w:tblLook w:val="0000"/>
    </w:tblPr>
    <w:tblGrid>
      <w:gridCol w:w="3320"/>
      <w:gridCol w:w="3527"/>
      <w:gridCol w:w="3320"/>
      <w:tblGridChange w:id="0">
        <w:tblGrid>
          <w:gridCol w:w="3320"/>
          <w:gridCol w:w="3527"/>
          <w:gridCol w:w="3320"/>
        </w:tblGrid>
      </w:tblGridChange>
    </w:tblGrid>
    <w:tr>
      <w:trPr>
        <w:trHeight w:val="1663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надежная правовая поддержка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Страница 2 из 2</w:t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167.0" w:type="dxa"/>
      <w:jc w:val="left"/>
      <w:tblInd w:w="40.0" w:type="pct"/>
      <w:tblLayout w:type="fixed"/>
      <w:tblLook w:val="0000"/>
    </w:tblPr>
    <w:tblGrid>
      <w:gridCol w:w="5602"/>
      <w:gridCol w:w="415"/>
      <w:gridCol w:w="4150"/>
      <w:tblGridChange w:id="0">
        <w:tblGrid>
          <w:gridCol w:w="5602"/>
          <w:gridCol w:w="415"/>
          <w:gridCol w:w="4150"/>
        </w:tblGrid>
      </w:tblGridChange>
    </w:tblGrid>
    <w:tr>
      <w:trPr>
        <w:trHeight w:val="1683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905000" cy="4476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&lt;Письмо&gt; Минпросвещения России от 10.04.2020 N ВБ-806/08</w:t>
            <w:br w:type="textWrapping"/>
            <w:t xml:space="preserve">"Об обеспечении сохранения уровня заработной платы отдельных ка...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Документ предоставлен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Дата сохранения: 13.05.2020</w:t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67.0" w:type="dxa"/>
      <w:jc w:val="left"/>
      <w:tblInd w:w="40.0" w:type="pct"/>
      <w:tblLayout w:type="fixed"/>
      <w:tblLook w:val="0000"/>
    </w:tblPr>
    <w:tblGrid>
      <w:gridCol w:w="5602"/>
      <w:gridCol w:w="415"/>
      <w:gridCol w:w="4150"/>
      <w:tblGridChange w:id="0">
        <w:tblGrid>
          <w:gridCol w:w="5602"/>
          <w:gridCol w:w="415"/>
          <w:gridCol w:w="4150"/>
        </w:tblGrid>
      </w:tblGridChange>
    </w:tblGrid>
    <w:tr>
      <w:trPr>
        <w:trHeight w:val="1683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&lt;Письмо&gt; Минпросвещения России от 10.04.2020 N ВБ-806/08</w:t>
            <w:br w:type="textWrapping"/>
            <w:t xml:space="preserve">"Об обеспечении сохранения уровня заработной платы отдельных ка...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Дата сохранения: 13.05.2020</w:t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login.consultant.ru/link/?req=doc&amp;base=LAW&amp;n=198999&amp;date=13.05.2020&amp;dst=100062&amp;fld=134" TargetMode="External"/><Relationship Id="rId10" Type="http://schemas.openxmlformats.org/officeDocument/2006/relationships/hyperlink" Target="https://login.consultant.ru/link/?req=doc&amp;base=LAW&amp;n=198999&amp;date=13.05.2020&amp;dst=100056&amp;fld=134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348485&amp;date=13.05.2020&amp;dst=100007&amp;fld=134" TargetMode="External"/><Relationship Id="rId12" Type="http://schemas.openxmlformats.org/officeDocument/2006/relationships/hyperlink" Target="https://login.consultant.ru/link/?req=doc&amp;base=LAW&amp;n=198999&amp;date=13.05.2020&amp;dst=100033&amp;fld=1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gin.consultant.ru/link/?req=doc&amp;base=LAW&amp;n=198999&amp;date=13.05.2020&amp;dst=100067&amp;fld=134" TargetMode="External"/><Relationship Id="rId15" Type="http://schemas.openxmlformats.org/officeDocument/2006/relationships/hyperlink" Target="https://login.consultant.ru/link/?req=doc&amp;base=LAW&amp;n=348781&amp;date=13.05.2020" TargetMode="External"/><Relationship Id="rId14" Type="http://schemas.openxmlformats.org/officeDocument/2006/relationships/hyperlink" Target="https://login.consultant.ru/link/?req=doc&amp;base=LAW&amp;n=349217&amp;date=13.05.2020&amp;dst=100007&amp;fld=134" TargetMode="External"/><Relationship Id="rId17" Type="http://schemas.openxmlformats.org/officeDocument/2006/relationships/hyperlink" Target="https://login.consultant.ru/link/?req=doc&amp;base=LAW&amp;n=348485&amp;date=13.05.2020" TargetMode="External"/><Relationship Id="rId16" Type="http://schemas.openxmlformats.org/officeDocument/2006/relationships/hyperlink" Target="https://login.consultant.ru/link/?req=doc&amp;base=LAW&amp;n=348593&amp;date=13.05.2020&amp;dst=100001&amp;fld=134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login.consultant.ru/link/?req=doc&amp;base=LAW&amp;n=325102&amp;date=13.05.2020&amp;dst=100011&amp;fld=134" TargetMode="External"/><Relationship Id="rId18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198999&amp;date=13.05.2020&amp;dst=100011&amp;fld=134" TargetMode="External"/><Relationship Id="rId8" Type="http://schemas.openxmlformats.org/officeDocument/2006/relationships/hyperlink" Target="https://login.consultant.ru/link/?req=doc&amp;base=LAW&amp;n=198999&amp;date=13.05.2020&amp;dst=100066&amp;fld=134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onsultant.ru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